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88" w:rsidRPr="00186E88" w:rsidRDefault="006D407E" w:rsidP="00186E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Технологическое присоединение принадлежащих </w:t>
      </w:r>
      <w:r w:rsidR="00AB1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физическому лицу, </w:t>
      </w:r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юридическому лицу или индивидуальному предпринимателю </w:t>
      </w:r>
      <w:proofErr w:type="spellStart"/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энергопринимающих</w:t>
      </w:r>
      <w:proofErr w:type="spellEnd"/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устройств, </w:t>
      </w:r>
      <w:r w:rsidR="00186E88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186E88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="00186E88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устройств)</w:t>
      </w:r>
      <w:r w:rsidR="00186E88" w:rsidRPr="0018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E88">
        <w:rPr>
          <w:rFonts w:ascii="Times New Roman" w:hAnsi="Times New Roman" w:cs="Times New Roman"/>
          <w:b/>
          <w:bCs/>
          <w:sz w:val="24"/>
          <w:szCs w:val="24"/>
        </w:rPr>
        <w:t>по второй или третьей категории надежности.</w:t>
      </w: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 предоставляется услуга? </w:t>
      </w:r>
    </w:p>
    <w:p w:rsid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Потребитель: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или индивидуальной предприниматель, намеревающийся осуществить технологическое присоединение энергопринимающих устройств.</w:t>
      </w: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предоставления услуги (процесса) </w:t>
      </w:r>
    </w:p>
    <w:p w:rsidR="006D407E" w:rsidRPr="00186E88" w:rsidRDefault="00AB1F6F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осуществления технологического присоединения к электрическим сетям энергопринимающих устройств, </w:t>
      </w:r>
      <w:r w:rsidR="006D407E"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6D407E"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6D407E"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  <w:r w:rsidR="00186E88" w:rsidRPr="00186E88">
        <w:rPr>
          <w:rFonts w:ascii="Times New Roman" w:hAnsi="Times New Roman" w:cs="Times New Roman"/>
          <w:bCs/>
          <w:sz w:val="24"/>
          <w:szCs w:val="24"/>
        </w:rPr>
        <w:t xml:space="preserve"> по второй или третьей категории надежности</w:t>
      </w:r>
      <w:r w:rsidR="006D407E"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оказания услуги (процесса) </w:t>
      </w:r>
    </w:p>
    <w:p w:rsidR="006D407E" w:rsidRPr="006D407E" w:rsidRDefault="006D407E" w:rsidP="006D407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технологическое присоединение с обязательными приложениями.</w:t>
      </w:r>
    </w:p>
    <w:p w:rsidR="006D407E" w:rsidRPr="006D407E" w:rsidRDefault="00AB1F6F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планируется присоединить к электрическим сетям, составляет до 150 кВт включительно (с учетом ранее присоединенных в данной точке присоединения </w:t>
      </w:r>
      <w:proofErr w:type="spellStart"/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  <w:r w:rsidR="002C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81" w:rsidRPr="00186E88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надежности</w:t>
      </w:r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об осуществлении технологического присоединения</w:t>
      </w:r>
      <w:r w:rsid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88" w:rsidRPr="00186E88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надежности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 способ подачи заявки </w:t>
      </w:r>
    </w:p>
    <w:p w:rsidR="006D407E" w:rsidRP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формы: </w:t>
      </w:r>
      <w:r w:rsidRPr="006D407E">
        <w:rPr>
          <w:rFonts w:ascii="Times New Roman" w:hAnsi="Times New Roman" w:cs="Times New Roman"/>
          <w:sz w:val="24"/>
          <w:lang w:eastAsia="ru-RU"/>
        </w:rPr>
        <w:t xml:space="preserve">заявка на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6D407E">
        <w:rPr>
          <w:rFonts w:ascii="Times New Roman" w:hAnsi="Times New Roman" w:cs="Times New Roman"/>
          <w:sz w:val="24"/>
          <w:lang w:eastAsia="ru-RU"/>
        </w:rPr>
        <w:t>энергопринимающих</w:t>
      </w:r>
      <w:proofErr w:type="spellEnd"/>
      <w:r w:rsidRPr="006D407E">
        <w:rPr>
          <w:rFonts w:ascii="Times New Roman" w:hAnsi="Times New Roman" w:cs="Times New Roman"/>
          <w:sz w:val="24"/>
          <w:lang w:eastAsia="ru-RU"/>
        </w:rPr>
        <w:t xml:space="preserve"> устройств)</w:t>
      </w:r>
      <w:r w:rsidR="00E101E0" w:rsidRPr="00E10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1E0" w:rsidRPr="00186E88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надежности</w:t>
      </w:r>
      <w:r w:rsidRPr="006D407E">
        <w:rPr>
          <w:rFonts w:ascii="Times New Roman" w:hAnsi="Times New Roman" w:cs="Times New Roman"/>
          <w:sz w:val="24"/>
          <w:lang w:eastAsia="ru-RU"/>
        </w:rPr>
        <w:t>.</w:t>
      </w:r>
    </w:p>
    <w:p w:rsidR="006D407E" w:rsidRP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подачи заявки:</w:t>
      </w:r>
    </w:p>
    <w:p w:rsidR="006D407E" w:rsidRPr="006D407E" w:rsidRDefault="006D407E" w:rsidP="006D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письмом;</w:t>
      </w:r>
    </w:p>
    <w:p w:rsidR="006D407E" w:rsidRPr="006D407E" w:rsidRDefault="006D407E" w:rsidP="006D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уполномоченного представителя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приёмную МУП г. Россош</w:t>
      </w:r>
      <w:r w:rsidR="00C218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«ГЭС»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07E" w:rsidRPr="00BE2039" w:rsidRDefault="006D407E" w:rsidP="006D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электронную почту </w:t>
      </w:r>
      <w:hyperlink r:id="rId5" w:history="1"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mupgesrossosh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12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Pr="00BE2039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оказания услуги (процесса) </w:t>
      </w:r>
    </w:p>
    <w:p w:rsidR="006D407E" w:rsidRPr="00BE2039" w:rsidRDefault="006D407E" w:rsidP="006D407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осуществлении технологического присоединения.</w:t>
      </w:r>
    </w:p>
    <w:p w:rsidR="006D407E" w:rsidRDefault="006D407E" w:rsidP="006D407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энергопринимающих устройств заявителя к электрическим сетям МУП г. Россош</w:t>
      </w:r>
      <w:r w:rsidR="00C218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«ГЭС»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услуги (процесса) </w:t>
      </w:r>
    </w:p>
    <w:p w:rsidR="006D407E" w:rsidRPr="006D407E" w:rsidRDefault="00AB1F6F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D407E"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15 календарных дней со дня получения заявки от заявителя.</w:t>
      </w:r>
    </w:p>
    <w:p w:rsidR="00186E88" w:rsidRPr="00BE2039" w:rsidRDefault="00186E88" w:rsidP="00186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186E88" w:rsidRPr="00BE2039" w:rsidRDefault="00186E88" w:rsidP="00186E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месяца, если осуществляется технологическое присоединение к электрическим сетям классом напряжения до 20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электроэнергетики;</w:t>
      </w:r>
    </w:p>
    <w:p w:rsidR="006D407E" w:rsidRPr="00186E88" w:rsidRDefault="00186E88" w:rsidP="00186E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(или)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объектов электроэнергетики.</w:t>
      </w:r>
    </w:p>
    <w:p w:rsidR="006D407E" w:rsidRPr="000E0E18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стоимости услуг (процесса) </w:t>
      </w:r>
    </w:p>
    <w:p w:rsidR="006D407E" w:rsidRDefault="00AB1F6F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07E" w:rsidRPr="000E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6D407E" w:rsidRPr="000E0E18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нормативный правовой акт </w:t>
      </w:r>
    </w:p>
    <w:p w:rsidR="002C2D81" w:rsidRDefault="002C2D81" w:rsidP="002C2D8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технологического присоединения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 № 861.</w:t>
      </w:r>
    </w:p>
    <w:p w:rsidR="002C2D81" w:rsidRDefault="002C2D81" w:rsidP="002C2D8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ФАС России от 29.08.2017 N 1135/17 "Об утверждении методических указаний по определению размера платы за технологическое присое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динение к электрическим сетям".</w:t>
      </w:r>
    </w:p>
    <w:p w:rsidR="002C2D81" w:rsidRPr="00BE2039" w:rsidRDefault="002C2D81" w:rsidP="002C2D8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по государственному регулированию тарифов Воронежской области от 25.12.2017 №58/1.</w:t>
      </w:r>
      <w:bookmarkStart w:id="0" w:name="_GoBack"/>
      <w:bookmarkEnd w:id="0"/>
    </w:p>
    <w:sectPr w:rsidR="002C2D81" w:rsidRPr="00BE2039" w:rsidSect="009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39F"/>
    <w:multiLevelType w:val="hybridMultilevel"/>
    <w:tmpl w:val="1794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4E2"/>
    <w:multiLevelType w:val="multilevel"/>
    <w:tmpl w:val="E01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814C3"/>
    <w:multiLevelType w:val="hybridMultilevel"/>
    <w:tmpl w:val="4C2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0C1C"/>
    <w:multiLevelType w:val="hybridMultilevel"/>
    <w:tmpl w:val="4C2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699C"/>
    <w:multiLevelType w:val="hybridMultilevel"/>
    <w:tmpl w:val="BCA8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76B5"/>
    <w:multiLevelType w:val="multilevel"/>
    <w:tmpl w:val="97C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77ECA"/>
    <w:multiLevelType w:val="hybridMultilevel"/>
    <w:tmpl w:val="8DE0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86269"/>
    <w:multiLevelType w:val="multilevel"/>
    <w:tmpl w:val="97C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66DAD"/>
    <w:multiLevelType w:val="multilevel"/>
    <w:tmpl w:val="BED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63833"/>
    <w:multiLevelType w:val="hybridMultilevel"/>
    <w:tmpl w:val="4C2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07E"/>
    <w:rsid w:val="00186E88"/>
    <w:rsid w:val="001C491D"/>
    <w:rsid w:val="002C2D81"/>
    <w:rsid w:val="00322A3D"/>
    <w:rsid w:val="004916CB"/>
    <w:rsid w:val="00620117"/>
    <w:rsid w:val="006D407E"/>
    <w:rsid w:val="009B7653"/>
    <w:rsid w:val="00AB1F6F"/>
    <w:rsid w:val="00C21848"/>
    <w:rsid w:val="00D15A90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EE09"/>
  <w15:docId w15:val="{65AB8E49-891A-404D-8B54-659BAE6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53"/>
  </w:style>
  <w:style w:type="paragraph" w:styleId="1">
    <w:name w:val="heading 1"/>
    <w:basedOn w:val="a"/>
    <w:link w:val="10"/>
    <w:uiPriority w:val="9"/>
    <w:qFormat/>
    <w:rsid w:val="006D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0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gesros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3</dc:creator>
  <cp:keywords/>
  <dc:description/>
  <cp:lastModifiedBy>Химчик Аня</cp:lastModifiedBy>
  <cp:revision>8</cp:revision>
  <dcterms:created xsi:type="dcterms:W3CDTF">2015-03-27T12:12:00Z</dcterms:created>
  <dcterms:modified xsi:type="dcterms:W3CDTF">2018-09-19T08:00:00Z</dcterms:modified>
</cp:coreProperties>
</file>